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2E701B68" w14:textId="77777777" w:rsidR="003B1317" w:rsidRPr="003B1317" w:rsidRDefault="003B1317" w:rsidP="003B1317">
      <w:pPr>
        <w:widowControl/>
        <w:suppressAutoHyphens w:val="0"/>
        <w:spacing w:after="100" w:line="288" w:lineRule="auto"/>
        <w:jc w:val="center"/>
        <w:textAlignment w:val="auto"/>
        <w:rPr>
          <w:rFonts w:ascii="Arial" w:eastAsia="Calibri" w:hAnsi="Arial" w:cs="Arial"/>
          <w:sz w:val="22"/>
          <w:szCs w:val="22"/>
          <w:lang w:eastAsia="en-US"/>
        </w:rPr>
      </w:pPr>
      <w:r w:rsidRPr="003B1317">
        <w:rPr>
          <w:rFonts w:ascii="Arial" w:eastAsia="Calibri" w:hAnsi="Arial" w:cs="Arial"/>
          <w:b/>
          <w:sz w:val="28"/>
          <w:szCs w:val="22"/>
          <w:lang w:eastAsia="en-US"/>
        </w:rPr>
        <w:t>„II/610 Benátky  n/J, most ev.č. 610-021 a přes D10“</w:t>
      </w: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059F7C2A" w:rsidR="006574A5" w:rsidRPr="00CE5560" w:rsidRDefault="0087231C" w:rsidP="006519CE">
      <w:pPr>
        <w:pStyle w:val="Odstavecseseznamem"/>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Dodavatel</w:t>
      </w:r>
      <w:r w:rsidR="006574A5" w:rsidRPr="00016DCE">
        <w:rPr>
          <w:rFonts w:ascii="Arial" w:hAnsi="Arial" w:cs="Arial"/>
          <w:sz w:val="22"/>
          <w:szCs w:val="22"/>
        </w:rPr>
        <w:t xml:space="preserve"> se </w:t>
      </w:r>
      <w:r w:rsidR="008E72C0" w:rsidRPr="00016DCE">
        <w:rPr>
          <w:rFonts w:ascii="Arial" w:hAnsi="Arial" w:cs="Arial"/>
          <w:sz w:val="22"/>
          <w:szCs w:val="22"/>
        </w:rPr>
        <w:t>zavazuje k provedení díla - stavby</w:t>
      </w:r>
      <w:r w:rsidR="008E72C0" w:rsidRPr="00255050">
        <w:rPr>
          <w:rFonts w:ascii="Arial" w:hAnsi="Arial" w:cs="Arial"/>
          <w:sz w:val="22"/>
          <w:szCs w:val="22"/>
        </w:rPr>
        <w:t xml:space="preserve"> </w:t>
      </w:r>
      <w:r w:rsidR="006519CE">
        <w:rPr>
          <w:rFonts w:ascii="Arial" w:hAnsi="Arial" w:cs="Arial"/>
          <w:sz w:val="22"/>
          <w:szCs w:val="22"/>
        </w:rPr>
        <w:t>„</w:t>
      </w:r>
      <w:r w:rsidR="00C0774E" w:rsidRPr="00C0774E">
        <w:rPr>
          <w:rFonts w:ascii="Arial" w:eastAsia="Calibri" w:hAnsi="Arial" w:cs="Arial"/>
          <w:b/>
          <w:sz w:val="22"/>
          <w:szCs w:val="22"/>
          <w:lang w:eastAsia="en-US"/>
        </w:rPr>
        <w:t>II/610 Benátky  n/J, most ev.č. 610-021 a přes D10</w:t>
      </w:r>
      <w:r w:rsidR="00A45A70" w:rsidRPr="00255050">
        <w:rPr>
          <w:rFonts w:ascii="Arial" w:hAnsi="Arial" w:cs="Arial"/>
          <w:b/>
          <w:sz w:val="22"/>
          <w:szCs w:val="22"/>
        </w:rPr>
        <w:t xml:space="preserve">“ </w:t>
      </w:r>
      <w:r w:rsidR="008E72C0" w:rsidRPr="00016DCE">
        <w:rPr>
          <w:rFonts w:ascii="Arial" w:hAnsi="Arial" w:cs="Arial"/>
          <w:sz w:val="22"/>
          <w:szCs w:val="22"/>
        </w:rPr>
        <w:t>podle prováděcí projektové dokumentace</w:t>
      </w:r>
      <w:r w:rsidR="00D71E00" w:rsidRPr="00016DCE">
        <w:rPr>
          <w:rFonts w:ascii="Arial" w:hAnsi="Arial" w:cs="Arial"/>
          <w:sz w:val="22"/>
          <w:szCs w:val="22"/>
        </w:rPr>
        <w:t xml:space="preserve"> pro provádění stavby</w:t>
      </w:r>
      <w:r w:rsidR="008E72C0" w:rsidRPr="00016DCE">
        <w:rPr>
          <w:rFonts w:ascii="Arial" w:hAnsi="Arial" w:cs="Arial"/>
          <w:sz w:val="22"/>
          <w:szCs w:val="22"/>
        </w:rPr>
        <w:t xml:space="preserve"> vč. výkazu výměr, kterou vypracovala </w:t>
      </w:r>
      <w:r w:rsidR="00D71E00" w:rsidRPr="00016DCE">
        <w:rPr>
          <w:rFonts w:ascii="Arial" w:hAnsi="Arial" w:cs="Arial"/>
          <w:sz w:val="22"/>
          <w:szCs w:val="22"/>
        </w:rPr>
        <w:t xml:space="preserve">společnost </w:t>
      </w:r>
      <w:r w:rsidR="006519CE" w:rsidRPr="00BE5F11">
        <w:rPr>
          <w:rFonts w:ascii="Arial" w:hAnsi="Arial" w:cs="Arial"/>
          <w:sz w:val="22"/>
          <w:szCs w:val="22"/>
        </w:rPr>
        <w:t>Pontex, spol. s r.o. (Pontex Consulting Engineers, Ltd.), se sídlem Praha 4, Bezová 1658, PSČ 14714, IČO: 407 63</w:t>
      </w:r>
      <w:r w:rsidR="006519CE">
        <w:rPr>
          <w:rFonts w:ascii="Arial" w:hAnsi="Arial" w:cs="Arial"/>
          <w:sz w:val="22"/>
          <w:szCs w:val="22"/>
        </w:rPr>
        <w:t> </w:t>
      </w:r>
      <w:r w:rsidR="006519CE" w:rsidRPr="00BE5F11">
        <w:rPr>
          <w:rFonts w:ascii="Arial" w:hAnsi="Arial" w:cs="Arial"/>
          <w:sz w:val="22"/>
          <w:szCs w:val="22"/>
        </w:rPr>
        <w:t>439</w:t>
      </w:r>
      <w:r w:rsidR="00CE5560">
        <w:rPr>
          <w:rFonts w:ascii="Arial" w:hAnsi="Arial" w:cs="Arial"/>
          <w:sz w:val="22"/>
          <w:szCs w:val="22"/>
        </w:rPr>
        <w:t xml:space="preserve">, </w:t>
      </w:r>
      <w:r w:rsidR="008E72C0" w:rsidRPr="00016DCE">
        <w:rPr>
          <w:rFonts w:ascii="Arial" w:hAnsi="Arial" w:cs="Arial"/>
          <w:sz w:val="22"/>
          <w:szCs w:val="22"/>
        </w:rPr>
        <w:t xml:space="preserve">v rozsahu specifikovaném v oceněném výkazu výměr (položkovém rozpočtu), </w:t>
      </w:r>
      <w:r w:rsidR="0071602B" w:rsidRPr="00016DCE">
        <w:rPr>
          <w:rFonts w:ascii="Arial" w:hAnsi="Arial" w:cs="Arial"/>
          <w:sz w:val="22"/>
          <w:szCs w:val="22"/>
        </w:rPr>
        <w:t xml:space="preserve">který tvoří přílohu </w:t>
      </w:r>
      <w:r w:rsidR="00C02048" w:rsidRPr="00016DCE">
        <w:rPr>
          <w:rFonts w:ascii="Arial" w:hAnsi="Arial" w:cs="Arial"/>
          <w:sz w:val="22"/>
          <w:szCs w:val="22"/>
        </w:rPr>
        <w:t xml:space="preserve">č. 8 </w:t>
      </w:r>
      <w:r w:rsidR="0071602B" w:rsidRPr="00016DCE">
        <w:rPr>
          <w:rFonts w:ascii="Arial" w:hAnsi="Arial" w:cs="Arial"/>
          <w:sz w:val="22"/>
          <w:szCs w:val="22"/>
        </w:rPr>
        <w:t>S</w:t>
      </w:r>
      <w:r w:rsidR="006574A5" w:rsidRPr="00016DCE">
        <w:rPr>
          <w:rFonts w:ascii="Arial" w:hAnsi="Arial" w:cs="Arial"/>
          <w:sz w:val="22"/>
          <w:szCs w:val="22"/>
        </w:rPr>
        <w:t xml:space="preserve">mlouvy a byl součástí nabídky </w:t>
      </w:r>
      <w:r w:rsidRPr="00016DCE">
        <w:rPr>
          <w:rFonts w:ascii="Arial" w:hAnsi="Arial" w:cs="Arial"/>
          <w:sz w:val="22"/>
          <w:szCs w:val="22"/>
        </w:rPr>
        <w:t>dodavatele</w:t>
      </w:r>
      <w:r w:rsidR="006574A5" w:rsidRPr="00016DCE">
        <w:rPr>
          <w:rFonts w:ascii="Arial" w:hAnsi="Arial" w:cs="Arial"/>
          <w:sz w:val="22"/>
          <w:szCs w:val="22"/>
        </w:rPr>
        <w:t xml:space="preserve"> podané v rámci zadávacího řízení na výběr </w:t>
      </w:r>
      <w:r w:rsidRPr="00016DCE">
        <w:rPr>
          <w:rFonts w:ascii="Arial" w:hAnsi="Arial" w:cs="Arial"/>
          <w:sz w:val="22"/>
          <w:szCs w:val="22"/>
        </w:rPr>
        <w:lastRenderedPageBreak/>
        <w:t>dodavatele</w:t>
      </w:r>
      <w:r w:rsidR="006574A5" w:rsidRPr="00016DCE">
        <w:rPr>
          <w:rFonts w:ascii="Arial" w:hAnsi="Arial" w:cs="Arial"/>
          <w:sz w:val="22"/>
          <w:szCs w:val="22"/>
        </w:rPr>
        <w:t xml:space="preserve"> předmětu díla. Dopravně inženýrská opatření (DIO) si zajistí </w:t>
      </w:r>
      <w:r w:rsidRPr="00016DCE">
        <w:rPr>
          <w:rFonts w:ascii="Arial" w:hAnsi="Arial" w:cs="Arial"/>
          <w:sz w:val="22"/>
          <w:szCs w:val="22"/>
        </w:rPr>
        <w:t>dodavatel</w:t>
      </w:r>
      <w:r w:rsidR="006574A5" w:rsidRPr="00016DCE">
        <w:rPr>
          <w:rFonts w:ascii="Arial" w:hAnsi="Arial" w:cs="Arial"/>
          <w:sz w:val="22"/>
          <w:szCs w:val="22"/>
        </w:rPr>
        <w:t xml:space="preserve"> u příslušného silničního správního úřadu včetně aktualizace vyjádření správců sítí a orgánů státní správy. </w:t>
      </w: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č.j. 498/06-120-RS/1, ze 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lastRenderedPageBreak/>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274E943F"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1A21BF2" w14:textId="11CE2AAD" w:rsidR="00BF5553" w:rsidRPr="00016DCE"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 xml:space="preserve">Místem plnění </w:t>
      </w:r>
      <w:r w:rsidR="000573E9" w:rsidRPr="00016DCE">
        <w:rPr>
          <w:rFonts w:ascii="Arial" w:hAnsi="Arial" w:cs="Arial"/>
          <w:sz w:val="22"/>
          <w:szCs w:val="22"/>
        </w:rPr>
        <w:t xml:space="preserve">je </w:t>
      </w:r>
      <w:r w:rsidR="003B1317" w:rsidRPr="003B1317">
        <w:rPr>
          <w:rFonts w:ascii="Arial" w:hAnsi="Arial" w:cs="Arial"/>
          <w:sz w:val="22"/>
          <w:szCs w:val="22"/>
        </w:rPr>
        <w:t>most ev. č. 610-021 a komunikace v délce 2,5 km</w:t>
      </w:r>
      <w:r w:rsidR="000573E9" w:rsidRPr="00016DCE">
        <w:rPr>
          <w:rFonts w:ascii="Arial" w:hAnsi="Arial" w:cs="Arial"/>
          <w:sz w:val="22"/>
          <w:szCs w:val="22"/>
        </w:rPr>
        <w:t>.</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w:t>
      </w:r>
      <w:r w:rsidR="00084067" w:rsidRPr="00016DCE">
        <w:rPr>
          <w:rFonts w:ascii="Arial" w:hAnsi="Arial" w:cs="Arial"/>
          <w:sz w:val="22"/>
          <w:szCs w:val="22"/>
        </w:rPr>
        <w:lastRenderedPageBreak/>
        <w:t>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307322B6"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RDS bude předána objednateli v</w:t>
      </w:r>
      <w:r w:rsidR="0048446F" w:rsidRPr="00016DCE">
        <w:rPr>
          <w:rFonts w:ascii="Arial" w:hAnsi="Arial" w:cs="Arial"/>
          <w:sz w:val="22"/>
          <w:szCs w:val="22"/>
        </w:rPr>
        <w:t xml:space="preserve"> pěti (5) </w:t>
      </w:r>
      <w:r w:rsidRPr="00016DCE">
        <w:rPr>
          <w:rFonts w:ascii="Arial" w:hAnsi="Arial" w:cs="Arial"/>
          <w:sz w:val="22"/>
          <w:szCs w:val="22"/>
        </w:rPr>
        <w:t>vyhotoveních v tištěné podobě a</w:t>
      </w:r>
      <w:r w:rsidR="0048446F" w:rsidRPr="00016DCE">
        <w:rPr>
          <w:rFonts w:ascii="Arial" w:hAnsi="Arial" w:cs="Arial"/>
          <w:sz w:val="22"/>
          <w:szCs w:val="22"/>
        </w:rPr>
        <w:t xml:space="preserve"> ve dvou (2) vyhotoveních</w:t>
      </w:r>
      <w:r w:rsidRPr="00016DCE">
        <w:rPr>
          <w:rFonts w:ascii="Arial" w:hAnsi="Arial" w:cs="Arial"/>
          <w:sz w:val="22"/>
          <w:szCs w:val="22"/>
        </w:rPr>
        <w:t xml:space="preserve"> v elektronické podobě;</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Centra pro regionální rozvoj České republiky, státní příspěvkové 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t>Závaznost dokumentace:</w:t>
      </w:r>
    </w:p>
    <w:p w14:paraId="7B223734" w14:textId="3F4E7B7D" w:rsidR="000E102E" w:rsidRPr="00016DCE" w:rsidRDefault="000E102E" w:rsidP="00AA6628">
      <w:pPr>
        <w:rPr>
          <w:rFonts w:ascii="Arial" w:hAnsi="Arial" w:cs="Arial"/>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B7AC2">
        <w:rPr>
          <w:rFonts w:ascii="Arial" w:hAnsi="Arial" w:cs="Arial"/>
          <w:sz w:val="22"/>
          <w:szCs w:val="22"/>
        </w:rPr>
        <w:lastRenderedPageBreak/>
        <w:t xml:space="preserve">zakázku </w:t>
      </w:r>
      <w:r w:rsidRPr="00CB7AC2">
        <w:rPr>
          <w:rFonts w:ascii="Arial" w:hAnsi="Arial" w:cs="Arial"/>
          <w:sz w:val="20"/>
          <w:szCs w:val="22"/>
        </w:rPr>
        <w:t>s </w:t>
      </w:r>
      <w:r w:rsidR="006519CE">
        <w:rPr>
          <w:rFonts w:ascii="Arial" w:hAnsi="Arial" w:cs="Arial"/>
          <w:sz w:val="20"/>
          <w:szCs w:val="22"/>
        </w:rPr>
        <w:t>„</w:t>
      </w:r>
      <w:r w:rsidR="003B1317" w:rsidRPr="003B1317">
        <w:rPr>
          <w:rFonts w:ascii="Arial" w:eastAsia="Calibri" w:hAnsi="Arial" w:cs="Arial"/>
          <w:b/>
          <w:sz w:val="22"/>
          <w:szCs w:val="22"/>
          <w:lang w:eastAsia="en-US"/>
        </w:rPr>
        <w:t>II/610 Benátky  n/J, most ev.č. 610-021 a přes D10</w:t>
      </w:r>
      <w:r w:rsidR="00CB7AC2" w:rsidRPr="00255050">
        <w:rPr>
          <w:rFonts w:ascii="Arial" w:hAnsi="Arial" w:cs="Arial"/>
          <w:b/>
          <w:sz w:val="22"/>
          <w:szCs w:val="22"/>
        </w:rPr>
        <w:t xml:space="preserve">“ </w:t>
      </w:r>
      <w:r w:rsidRPr="00016DCE">
        <w:rPr>
          <w:rFonts w:ascii="Arial" w:hAnsi="Arial" w:cs="Arial"/>
          <w:sz w:val="22"/>
          <w:szCs w:val="22"/>
        </w:rPr>
        <w:t xml:space="preserve">(dále jen „Veřejná zakázka“) – výkaz výměr,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5BA08B55" w:rsidR="006519CE" w:rsidRPr="0082398A" w:rsidRDefault="006519CE" w:rsidP="006519CE">
      <w:pPr>
        <w:numPr>
          <w:ilvl w:val="1"/>
          <w:numId w:val="15"/>
        </w:numPr>
      </w:pPr>
      <w:r w:rsidRPr="0082398A">
        <w:rPr>
          <w:rFonts w:ascii="Arial" w:hAnsi="Arial" w:cs="Arial"/>
          <w:sz w:val="22"/>
          <w:szCs w:val="22"/>
        </w:rPr>
        <w:t xml:space="preserve">Dodavatel provede (tj. dokončí a předá) dílo specifikované v článku I. odst. 1.1 a 1.4 Smlouvy v termínu </w:t>
      </w:r>
      <w:r w:rsidRPr="0082398A">
        <w:rPr>
          <w:rFonts w:ascii="Arial" w:hAnsi="Arial" w:cs="Arial"/>
          <w:b/>
          <w:sz w:val="22"/>
          <w:szCs w:val="22"/>
        </w:rPr>
        <w:t xml:space="preserve">do </w:t>
      </w:r>
      <w:r w:rsidR="0082398A" w:rsidRPr="0082398A">
        <w:rPr>
          <w:rFonts w:ascii="Arial" w:hAnsi="Arial" w:cs="Arial"/>
          <w:b/>
          <w:sz w:val="22"/>
          <w:szCs w:val="22"/>
        </w:rPr>
        <w:t>9</w:t>
      </w:r>
      <w:r w:rsidRPr="0082398A">
        <w:rPr>
          <w:rFonts w:ascii="Arial" w:hAnsi="Arial" w:cs="Arial"/>
          <w:b/>
          <w:sz w:val="22"/>
          <w:szCs w:val="22"/>
        </w:rPr>
        <w:t xml:space="preserve"> měsíců</w:t>
      </w:r>
      <w:r w:rsidRPr="0082398A">
        <w:rPr>
          <w:rFonts w:ascii="Arial" w:hAnsi="Arial" w:cs="Arial"/>
          <w:sz w:val="22"/>
          <w:szCs w:val="22"/>
        </w:rPr>
        <w:t xml:space="preserve"> ode dne doručení výzvy dle bodu 2.2 a v souladu s Přílohou č. 7 Smlouvy – Finanční a časový harmonogram plnění (dále také „FHS“), s ohledem na podmínky poskytované dotace pro období 2014 – 2023. </w:t>
      </w:r>
      <w:bookmarkStart w:id="0" w:name="_GoBack"/>
      <w:bookmarkEnd w:id="0"/>
    </w:p>
    <w:p w14:paraId="2A952A75" w14:textId="77777777" w:rsidR="006519CE" w:rsidRPr="008C4CBA" w:rsidRDefault="006519CE" w:rsidP="006519CE">
      <w:pPr>
        <w:ind w:left="426" w:hanging="426"/>
      </w:pPr>
    </w:p>
    <w:p w14:paraId="378A8CAB" w14:textId="6CB26C68" w:rsidR="006519CE" w:rsidRPr="008C4CBA" w:rsidRDefault="006519CE" w:rsidP="006519CE">
      <w:pPr>
        <w:numPr>
          <w:ilvl w:val="1"/>
          <w:numId w:val="15"/>
        </w:numPr>
        <w:rPr>
          <w:color w:val="FF0000"/>
        </w:rPr>
      </w:pPr>
      <w:r w:rsidRPr="008C4CBA">
        <w:rPr>
          <w:rFonts w:ascii="Arial" w:hAnsi="Arial" w:cs="Arial"/>
          <w:sz w:val="22"/>
          <w:szCs w:val="22"/>
        </w:rPr>
        <w:t>K započetí plnění předmětu díla bude dodavatel objednatelem vyzván vždy písemnou výzvou poštou, e-mailem nebo faxem, a pokud dodavatel nebude mít k této výzvě odůvodněné námitky (doručené písemně, poštou, e-mailem nebo faxem) zahájí předmět plnění dle článku I. Smlouvy.  Dodavatel je povinen zahájit provádění díla nejpozději do 1 týdne ode dne obdržení výzvy dle tohoto odstavce.</w:t>
      </w:r>
      <w:r>
        <w:rPr>
          <w:rFonts w:ascii="Arial" w:hAnsi="Arial" w:cs="Arial"/>
          <w:sz w:val="22"/>
          <w:szCs w:val="22"/>
        </w:rPr>
        <w:t xml:space="preserve"> Podmínkou pro zahájení provádění díla je předložení originálu bankovní záruky za řádné provedení díla dle čl. XIV odst. 14.1 této smlouvy.</w:t>
      </w:r>
      <w:r w:rsidRPr="008C4CBA">
        <w:rPr>
          <w:rFonts w:ascii="Arial" w:hAnsi="Arial" w:cs="Arial"/>
          <w:sz w:val="22"/>
          <w:szCs w:val="22"/>
        </w:rPr>
        <w:t xml:space="preserve"> V případě, že</w:t>
      </w:r>
      <w:r>
        <w:rPr>
          <w:rFonts w:ascii="Arial" w:hAnsi="Arial" w:cs="Arial"/>
          <w:sz w:val="22"/>
          <w:szCs w:val="22"/>
        </w:rPr>
        <w:t xml:space="preserve"> dodavatel nesplní povinnosti uvedené v tomto odstavci (nepředloží objednateli originál bankovní záruky za řádné provedení díla dle čl. XIV odst. 14.1 této </w:t>
      </w:r>
      <w:r>
        <w:rPr>
          <w:rFonts w:ascii="Arial" w:hAnsi="Arial" w:cs="Arial"/>
          <w:sz w:val="22"/>
          <w:szCs w:val="22"/>
        </w:rPr>
        <w:lastRenderedPageBreak/>
        <w:t xml:space="preserve">smlouvy, nezahájí provádění díla </w:t>
      </w:r>
      <w:r w:rsidRPr="008C4CBA">
        <w:rPr>
          <w:rFonts w:ascii="Arial" w:hAnsi="Arial" w:cs="Arial"/>
          <w:sz w:val="22"/>
          <w:szCs w:val="22"/>
        </w:rPr>
        <w:t>do 1 týdne ode dne obdržení výzvy dle tohoto odstavce</w:t>
      </w:r>
      <w:r w:rsidR="003B1317">
        <w:rPr>
          <w:rFonts w:ascii="Arial" w:hAnsi="Arial" w:cs="Arial"/>
          <w:sz w:val="22"/>
          <w:szCs w:val="22"/>
        </w:rPr>
        <w:t>)</w:t>
      </w:r>
      <w:r w:rsidRPr="008C4CBA">
        <w:rPr>
          <w:rFonts w:ascii="Arial" w:hAnsi="Arial" w:cs="Arial"/>
          <w:sz w:val="22"/>
          <w:szCs w:val="22"/>
        </w:rPr>
        <w:t>,</w:t>
      </w:r>
      <w:r w:rsidR="003B1317">
        <w:rPr>
          <w:rFonts w:ascii="Arial" w:hAnsi="Arial" w:cs="Arial"/>
          <w:sz w:val="22"/>
          <w:szCs w:val="22"/>
        </w:rPr>
        <w:t xml:space="preserve"> </w:t>
      </w:r>
      <w:r w:rsidRPr="008C4CBA">
        <w:rPr>
          <w:rFonts w:ascii="Arial" w:hAnsi="Arial" w:cs="Arial"/>
          <w:sz w:val="22"/>
          <w:szCs w:val="22"/>
        </w:rPr>
        <w:t>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lastRenderedPageBreak/>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mlouvy, tj. snížena 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 xml:space="preserve">pouze za podmínek </w:t>
      </w:r>
      <w:r w:rsidR="002442CB" w:rsidRPr="00016DCE">
        <w:rPr>
          <w:rFonts w:ascii="Arial" w:hAnsi="Arial" w:cs="Arial"/>
          <w:sz w:val="22"/>
          <w:szCs w:val="22"/>
        </w:rPr>
        <w:lastRenderedPageBreak/>
        <w:t>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rováděcí projektové dokumentaci musí být o rozsahu této změny (věcném i finančním) písemně informován zástupce objednatele ve věcech smluvních. K této informaci bude 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mlouvy bez DPH. Zbylých 10 % celkové ceny díla je Dodavatel oprávněn vyúčtovat 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xml:space="preserve">. V případě, že k příslušné faktuře není přiložena odpovídající fotodokumentace (případně z takové dokumentace provedení účtovaných prací nebo dodávek nevyplývá) a </w:t>
      </w:r>
      <w:r w:rsidRPr="00016DCE">
        <w:rPr>
          <w:rFonts w:ascii="Arial" w:hAnsi="Arial" w:cs="Arial"/>
          <w:sz w:val="22"/>
          <w:szCs w:val="22"/>
        </w:rPr>
        <w:lastRenderedPageBreak/>
        <w:t>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mlouvy realizuje. Dále se zavazuje předložit ke kontrole 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 xml:space="preserve">e a dokumentaci související </w:t>
      </w:r>
      <w:r w:rsidR="004A41DB" w:rsidRPr="00016DCE">
        <w:rPr>
          <w:rFonts w:ascii="Arial" w:hAnsi="Arial" w:cs="Arial"/>
          <w:sz w:val="22"/>
          <w:szCs w:val="22"/>
        </w:rPr>
        <w:lastRenderedPageBreak/>
        <w:t>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t>Pokud by překročení provedených částí díla a souvisejícího objemu ročního čerpání finančních prostředků znamenalo dřívější termín ukončení realizace díla, mohou 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xml:space="preserve">, avšak na přijatá plnění </w:t>
      </w:r>
      <w:r w:rsidR="000E102E" w:rsidRPr="00016DCE">
        <w:rPr>
          <w:rFonts w:ascii="Arial" w:hAnsi="Arial" w:cs="Arial"/>
          <w:sz w:val="22"/>
          <w:szCs w:val="22"/>
        </w:rPr>
        <w:lastRenderedPageBreak/>
        <w:t>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 xml:space="preserve">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přístupnost stavebního deníku na staveništi každý den v průběhu provádění díla. Zápisy do stavebního deníku je oprávněn činit kromě dodavatele, objednatele a zástupců orgánů státní správy, rovněž TDS a osoba provádějící autorský dozor projektanta. Zápisem do stavebního deníku však nedochází ke změně Smlouvy ani ke změně zadávací dokumentace. Žádný zápis ve stavebním deníku není způsobilý zvýšit cenu za dílo </w:t>
      </w:r>
      <w:r w:rsidRPr="00016DCE">
        <w:rPr>
          <w:rFonts w:ascii="Arial" w:hAnsi="Arial" w:cs="Arial"/>
          <w:sz w:val="22"/>
          <w:szCs w:val="22"/>
        </w:rPr>
        <w:lastRenderedPageBreak/>
        <w:t>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mlouvy, ani autorský dozor 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lastRenderedPageBreak/>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254 280 597, kontaktní osoba věcně příslušného 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85F536E" w14:textId="15B82641" w:rsidR="00F110FF" w:rsidRPr="00255DD1" w:rsidRDefault="00255DD1" w:rsidP="00255DD1">
      <w:pPr>
        <w:pStyle w:val="Odstavecseseznamem"/>
        <w:numPr>
          <w:ilvl w:val="0"/>
          <w:numId w:val="8"/>
        </w:numPr>
        <w:rPr>
          <w:b/>
          <w:bCs/>
          <w:color w:val="1F497D"/>
          <w:lang w:eastAsia="cs-CZ"/>
        </w:rPr>
      </w:pPr>
      <w:r w:rsidRPr="00255DD1">
        <w:rPr>
          <w:rFonts w:ascii="Arial" w:hAnsi="Arial" w:cs="Arial"/>
          <w:sz w:val="22"/>
          <w:szCs w:val="22"/>
        </w:rPr>
        <w:t>Ing. Jiří Levý, MPA</w:t>
      </w:r>
      <w:r w:rsidR="00F110FF" w:rsidRPr="00255DD1">
        <w:rPr>
          <w:rFonts w:ascii="Arial" w:hAnsi="Arial" w:cs="Arial"/>
          <w:sz w:val="22"/>
          <w:szCs w:val="22"/>
        </w:rPr>
        <w:t>, investiční technik KSUS, tel</w:t>
      </w:r>
      <w:r>
        <w:rPr>
          <w:rFonts w:ascii="Arial" w:hAnsi="Arial" w:cs="Arial"/>
          <w:sz w:val="22"/>
          <w:szCs w:val="22"/>
        </w:rPr>
        <w:t xml:space="preserve">.: </w:t>
      </w:r>
      <w:r w:rsidRPr="00255DD1">
        <w:rPr>
          <w:rFonts w:ascii="Arial" w:hAnsi="Arial" w:cs="Arial"/>
          <w:sz w:val="22"/>
          <w:szCs w:val="22"/>
        </w:rPr>
        <w:t>601 159 690</w:t>
      </w:r>
      <w:r w:rsidR="00F110FF" w:rsidRPr="00255DD1">
        <w:rPr>
          <w:rFonts w:ascii="Arial" w:hAnsi="Arial" w:cs="Arial"/>
          <w:sz w:val="22"/>
          <w:szCs w:val="22"/>
        </w:rPr>
        <w:t xml:space="preserve">, e-mail: </w:t>
      </w:r>
      <w:hyperlink r:id="rId17" w:history="1">
        <w:r w:rsidRPr="00630A41">
          <w:rPr>
            <w:rStyle w:val="Hypertextovodkaz"/>
            <w:rFonts w:ascii="Arial" w:hAnsi="Arial" w:cs="Arial"/>
            <w:sz w:val="22"/>
            <w:szCs w:val="22"/>
          </w:rPr>
          <w:t>jiri.levy@ksus.cz</w:t>
        </w:r>
      </w:hyperlink>
      <w:r w:rsidR="00F110FF" w:rsidRPr="00255DD1">
        <w:rPr>
          <w:rFonts w:ascii="Arial" w:hAnsi="Arial" w:cs="Arial"/>
          <w:sz w:val="22"/>
          <w:szCs w:val="22"/>
        </w:rPr>
        <w:t>, Krajská správa a údržba silnic Středočeského kraje, Zborovská 11, 150 21 Praha 5</w:t>
      </w:r>
    </w:p>
    <w:p w14:paraId="17FEC501" w14:textId="5D2D28E0" w:rsidR="007B0221" w:rsidRPr="00F8204D" w:rsidRDefault="000E6496" w:rsidP="007B0221">
      <w:pPr>
        <w:numPr>
          <w:ilvl w:val="0"/>
          <w:numId w:val="8"/>
        </w:numPr>
        <w:autoSpaceDE w:val="0"/>
        <w:autoSpaceDN w:val="0"/>
        <w:rPr>
          <w:rFonts w:ascii="Arial" w:hAnsi="Arial" w:cs="Arial"/>
          <w:sz w:val="22"/>
          <w:szCs w:val="22"/>
        </w:rPr>
      </w:pPr>
      <w:r w:rsidRPr="000E6496">
        <w:rPr>
          <w:rFonts w:ascii="Arial" w:hAnsi="Arial" w:cs="Arial"/>
          <w:sz w:val="22"/>
          <w:szCs w:val="22"/>
        </w:rPr>
        <w:t xml:space="preserve">Miroslav Dostál, Vedoucí mostních techniků; </w:t>
      </w:r>
      <w:hyperlink r:id="rId18" w:history="1">
        <w:r w:rsidRPr="000E6496">
          <w:rPr>
            <w:rStyle w:val="Hypertextovodkaz"/>
            <w:rFonts w:ascii="Arial" w:hAnsi="Arial" w:cs="Arial"/>
            <w:sz w:val="22"/>
          </w:rPr>
          <w:t>miroslav.dostal@ksus.cz</w:t>
        </w:r>
      </w:hyperlink>
      <w:r w:rsidRPr="000E6496">
        <w:rPr>
          <w:rFonts w:ascii="Arial" w:hAnsi="Arial" w:cs="Arial"/>
          <w:sz w:val="22"/>
          <w:szCs w:val="22"/>
        </w:rPr>
        <w:t xml:space="preserve"> +420 778 532 514,</w:t>
      </w:r>
      <w:r w:rsidR="007B0221" w:rsidRPr="00F8204D">
        <w:rPr>
          <w:rFonts w:ascii="Arial" w:hAnsi="Arial" w:cs="Arial"/>
          <w:sz w:val="22"/>
          <w:szCs w:val="22"/>
        </w:rPr>
        <w:t xml:space="preserve">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32B20658" w14:textId="77777777" w:rsidR="00540753" w:rsidRPr="00016DCE" w:rsidRDefault="00540753"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w:t>
      </w:r>
      <w:r w:rsidRPr="00016DCE">
        <w:rPr>
          <w:rFonts w:ascii="Arial" w:hAnsi="Arial" w:cs="Arial"/>
          <w:sz w:val="22"/>
          <w:szCs w:val="22"/>
        </w:rPr>
        <w:lastRenderedPageBreak/>
        <w:t xml:space="preserve">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dílo provádí v rozporu s předchozími větami, má se za to, že dílo 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při provádění vlastní stavby organizovat na staveništi nejméně 1x týdně (jinak vždy dle potřeby) kontrolní dny průběhu zhotovování vlastní stavby za účasti 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w:t>
      </w:r>
      <w:r w:rsidR="00085EB3" w:rsidRPr="00016DCE">
        <w:rPr>
          <w:rFonts w:ascii="Arial" w:hAnsi="Arial" w:cs="Arial"/>
          <w:sz w:val="22"/>
          <w:szCs w:val="22"/>
        </w:rPr>
        <w:lastRenderedPageBreak/>
        <w:t>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mají být některé části díla zakryty nebo mají být provedeny zkoušky některých částí díla podle obecně závazných právních předpisů nebo podle českých technických norem, je 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je povinen písemně upozornit objednatele bez zbytečného odkladu na nevhodnost nebo nedostatky, 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w:t>
      </w:r>
      <w:r w:rsidRPr="00016DCE">
        <w:rPr>
          <w:rFonts w:ascii="Arial" w:hAnsi="Arial" w:cs="Arial"/>
          <w:sz w:val="22"/>
          <w:szCs w:val="22"/>
        </w:rPr>
        <w:lastRenderedPageBreak/>
        <w:t xml:space="preserve">díla v nezbytném rozsahu okamžitě přerušit. O této skutečnosti je povinen ihned písemně 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w:t>
      </w:r>
      <w:r w:rsidR="002F5E70" w:rsidRPr="00016DCE">
        <w:rPr>
          <w:rFonts w:ascii="Arial" w:hAnsi="Arial" w:cs="Arial"/>
          <w:sz w:val="22"/>
          <w:szCs w:val="22"/>
        </w:rPr>
        <w:t xml:space="preserve">dodavatel </w:t>
      </w:r>
      <w:r w:rsidRPr="00016DCE">
        <w:rPr>
          <w:rFonts w:ascii="Arial" w:hAnsi="Arial" w:cs="Arial"/>
          <w:sz w:val="22"/>
          <w:szCs w:val="22"/>
        </w:rPr>
        <w:t xml:space="preserve">při provádění díla skryté překážky, týkající se místa, kde má být dílo provedeno, a tyto překážky znemožňuji provedení díla dohodnutým způsobem, </w:t>
      </w:r>
      <w:r w:rsidRPr="00016DCE">
        <w:rPr>
          <w:rFonts w:ascii="Arial" w:hAnsi="Arial" w:cs="Arial"/>
          <w:sz w:val="22"/>
          <w:szCs w:val="22"/>
        </w:rPr>
        <w:lastRenderedPageBreak/>
        <w:t>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dle Manuálu jednotného grafického stylu ESI fondů 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 xml:space="preserve">mlouvy poskytovat plnění </w:t>
      </w:r>
      <w:r w:rsidR="000E102E" w:rsidRPr="00016DCE">
        <w:rPr>
          <w:rFonts w:ascii="Arial" w:hAnsi="Arial" w:cs="Arial"/>
          <w:sz w:val="22"/>
          <w:szCs w:val="22"/>
        </w:rPr>
        <w:lastRenderedPageBreak/>
        <w:t>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takovém posouzení či supervizi. Tato skutečnost se nevztahuje na dokončené zakázky na supervizi, které byly realizovány před zahájením zadávacího řízení Veřejné </w:t>
      </w:r>
      <w:r w:rsidR="00D25FCF" w:rsidRPr="00016DCE">
        <w:rPr>
          <w:rFonts w:ascii="Arial" w:hAnsi="Arial" w:cs="Arial"/>
          <w:sz w:val="22"/>
          <w:szCs w:val="22"/>
        </w:rPr>
        <w:lastRenderedPageBreak/>
        <w:t xml:space="preserve">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představuje 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0E4011E" w14:textId="77777777" w:rsidR="000E102E" w:rsidRPr="00016DCE" w:rsidRDefault="00340FE6"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K</w:t>
      </w:r>
      <w:r w:rsidR="00065207" w:rsidRPr="00016DCE">
        <w:rPr>
          <w:rFonts w:ascii="Arial" w:hAnsi="Arial" w:cs="Arial"/>
          <w:sz w:val="22"/>
          <w:szCs w:val="22"/>
        </w:rPr>
        <w:t xml:space="preserve">opie pojistné smlouvy </w:t>
      </w:r>
      <w:r w:rsidR="00ED632E" w:rsidRPr="00016DCE">
        <w:rPr>
          <w:rFonts w:ascii="Arial" w:hAnsi="Arial" w:cs="Arial"/>
          <w:sz w:val="22"/>
          <w:szCs w:val="22"/>
        </w:rPr>
        <w:t>dodavatele</w:t>
      </w:r>
      <w:r w:rsidR="00087CCC" w:rsidRPr="00016DCE">
        <w:rPr>
          <w:rFonts w:ascii="Arial" w:hAnsi="Arial" w:cs="Arial"/>
          <w:sz w:val="22"/>
          <w:szCs w:val="22"/>
        </w:rPr>
        <w:t>, resp. akceptovaný návrh</w:t>
      </w:r>
      <w:r w:rsidR="000E102E" w:rsidRPr="00016DCE">
        <w:rPr>
          <w:rFonts w:ascii="Arial" w:hAnsi="Arial" w:cs="Arial"/>
          <w:sz w:val="22"/>
          <w:szCs w:val="22"/>
        </w:rPr>
        <w:t xml:space="preserve"> na uzavření pojistné smlouvy ze strany pojišťovny dle</w:t>
      </w:r>
      <w:r w:rsidR="00087CCC" w:rsidRPr="00016DCE">
        <w:rPr>
          <w:rFonts w:ascii="Arial" w:hAnsi="Arial" w:cs="Arial"/>
          <w:sz w:val="22"/>
          <w:szCs w:val="22"/>
        </w:rPr>
        <w:t xml:space="preserve"> tohoto článku </w:t>
      </w:r>
      <w:r w:rsidRPr="00016DCE">
        <w:rPr>
          <w:rFonts w:ascii="Arial" w:hAnsi="Arial" w:cs="Arial"/>
          <w:sz w:val="22"/>
          <w:szCs w:val="22"/>
        </w:rPr>
        <w:t>byl</w:t>
      </w:r>
      <w:r w:rsidR="00087CCC" w:rsidRPr="00016DCE">
        <w:rPr>
          <w:rFonts w:ascii="Arial" w:hAnsi="Arial" w:cs="Arial"/>
          <w:sz w:val="22"/>
          <w:szCs w:val="22"/>
        </w:rPr>
        <w:t xml:space="preserve"> </w:t>
      </w:r>
      <w:r w:rsidRPr="00016DCE">
        <w:rPr>
          <w:rFonts w:ascii="Arial" w:hAnsi="Arial" w:cs="Arial"/>
          <w:sz w:val="22"/>
          <w:szCs w:val="22"/>
        </w:rPr>
        <w:t>předán</w:t>
      </w:r>
      <w:r w:rsidR="000E102E" w:rsidRPr="00016DCE">
        <w:rPr>
          <w:rFonts w:ascii="Arial" w:hAnsi="Arial" w:cs="Arial"/>
          <w:sz w:val="22"/>
          <w:szCs w:val="22"/>
        </w:rPr>
        <w:t xml:space="preserve"> objednateli</w:t>
      </w:r>
      <w:r w:rsidRPr="00016DCE">
        <w:rPr>
          <w:rFonts w:ascii="Arial" w:hAnsi="Arial" w:cs="Arial"/>
          <w:sz w:val="22"/>
          <w:szCs w:val="22"/>
        </w:rPr>
        <w:t xml:space="preserve"> před podpisem této </w:t>
      </w:r>
      <w:r w:rsidR="002D5E64" w:rsidRPr="00016DCE">
        <w:rPr>
          <w:rFonts w:ascii="Arial" w:hAnsi="Arial" w:cs="Arial"/>
          <w:sz w:val="22"/>
          <w:szCs w:val="22"/>
        </w:rPr>
        <w:t>S</w:t>
      </w:r>
      <w:r w:rsidRPr="00016DCE">
        <w:rPr>
          <w:rFonts w:ascii="Arial" w:hAnsi="Arial" w:cs="Arial"/>
          <w:sz w:val="22"/>
          <w:szCs w:val="22"/>
        </w:rPr>
        <w:t xml:space="preserve">mlouvy, jako jedna z podmínek pro uzavření smlouvy dle ust. § </w:t>
      </w:r>
      <w:r w:rsidR="002D5E64" w:rsidRPr="00016DCE">
        <w:rPr>
          <w:rFonts w:ascii="Arial" w:hAnsi="Arial" w:cs="Arial"/>
          <w:sz w:val="22"/>
          <w:szCs w:val="22"/>
        </w:rPr>
        <w:t>104 písm. a) ZZVZ</w:t>
      </w:r>
      <w:r w:rsidR="00D25FCF" w:rsidRPr="00016DCE">
        <w:rPr>
          <w:rFonts w:ascii="Arial" w:hAnsi="Arial" w:cs="Arial"/>
          <w:sz w:val="22"/>
          <w:szCs w:val="22"/>
        </w:rPr>
        <w:t>.</w:t>
      </w:r>
      <w:r w:rsidR="000E102E" w:rsidRPr="00016DCE">
        <w:rPr>
          <w:rFonts w:ascii="Arial" w:hAnsi="Arial" w:cs="Arial"/>
          <w:sz w:val="22"/>
          <w:szCs w:val="22"/>
        </w:rPr>
        <w:t xml:space="preserve"> Na žádost objednatele je </w:t>
      </w:r>
      <w:r w:rsidR="00ED632E" w:rsidRPr="00016DCE">
        <w:rPr>
          <w:rFonts w:ascii="Arial" w:hAnsi="Arial" w:cs="Arial"/>
          <w:sz w:val="22"/>
          <w:szCs w:val="22"/>
        </w:rPr>
        <w:t xml:space="preserve">dodavatel </w:t>
      </w:r>
      <w:r w:rsidR="000E102E" w:rsidRPr="00016DCE">
        <w:rPr>
          <w:rFonts w:ascii="Arial" w:hAnsi="Arial" w:cs="Arial"/>
          <w:sz w:val="22"/>
          <w:szCs w:val="22"/>
        </w:rPr>
        <w:t xml:space="preserve">povinen kdykoliv později </w:t>
      </w:r>
      <w:r w:rsidR="0092309E" w:rsidRPr="00016DCE">
        <w:rPr>
          <w:rFonts w:ascii="Arial" w:hAnsi="Arial" w:cs="Arial"/>
          <w:sz w:val="22"/>
          <w:szCs w:val="22"/>
        </w:rPr>
        <w:t>v průběhu trvání S</w:t>
      </w:r>
      <w:r w:rsidR="00D25FCF" w:rsidRPr="00016DCE">
        <w:rPr>
          <w:rFonts w:ascii="Arial" w:hAnsi="Arial" w:cs="Arial"/>
          <w:sz w:val="22"/>
          <w:szCs w:val="22"/>
        </w:rPr>
        <w:t xml:space="preserve">mlouvy </w:t>
      </w:r>
      <w:r w:rsidR="000E102E" w:rsidRPr="00016DCE">
        <w:rPr>
          <w:rFonts w:ascii="Arial" w:hAnsi="Arial" w:cs="Arial"/>
          <w:sz w:val="22"/>
          <w:szCs w:val="22"/>
        </w:rPr>
        <w:t xml:space="preserve">předložit </w:t>
      </w:r>
      <w:r w:rsidR="00C6728C" w:rsidRPr="00016DCE">
        <w:rPr>
          <w:rFonts w:ascii="Arial" w:hAnsi="Arial" w:cs="Arial"/>
          <w:sz w:val="22"/>
          <w:szCs w:val="22"/>
        </w:rPr>
        <w:t xml:space="preserve">uspokojivé </w:t>
      </w:r>
      <w:r w:rsidR="000E102E" w:rsidRPr="00016DCE">
        <w:rPr>
          <w:rFonts w:ascii="Arial" w:hAnsi="Arial" w:cs="Arial"/>
          <w:sz w:val="22"/>
          <w:szCs w:val="22"/>
        </w:rPr>
        <w:t>doklady o tom, že</w:t>
      </w:r>
      <w:r w:rsidR="00F302CB" w:rsidRPr="00016DCE">
        <w:rPr>
          <w:rFonts w:ascii="Arial" w:hAnsi="Arial" w:cs="Arial"/>
          <w:sz w:val="22"/>
          <w:szCs w:val="22"/>
        </w:rPr>
        <w:t> </w:t>
      </w:r>
      <w:r w:rsidR="00C92682" w:rsidRPr="00016DCE">
        <w:rPr>
          <w:rFonts w:ascii="Arial" w:hAnsi="Arial" w:cs="Arial"/>
          <w:sz w:val="22"/>
          <w:szCs w:val="22"/>
        </w:rPr>
        <w:t xml:space="preserve">pojistná smlouva </w:t>
      </w:r>
      <w:r w:rsidR="00F50AA5" w:rsidRPr="00016DCE">
        <w:rPr>
          <w:rFonts w:ascii="Arial" w:hAnsi="Arial" w:cs="Arial"/>
          <w:sz w:val="22"/>
          <w:szCs w:val="22"/>
        </w:rPr>
        <w:t>uzavřená</w:t>
      </w:r>
      <w:r w:rsidR="000E102E" w:rsidRPr="00016DCE">
        <w:rPr>
          <w:rFonts w:ascii="Arial" w:hAnsi="Arial" w:cs="Arial"/>
          <w:sz w:val="22"/>
          <w:szCs w:val="22"/>
        </w:rPr>
        <w:t xml:space="preserve"> </w:t>
      </w:r>
      <w:r w:rsidR="00ED632E" w:rsidRPr="00016DCE">
        <w:rPr>
          <w:rFonts w:ascii="Arial" w:hAnsi="Arial" w:cs="Arial"/>
          <w:sz w:val="22"/>
          <w:szCs w:val="22"/>
        </w:rPr>
        <w:t xml:space="preserve">dodavatelem </w:t>
      </w:r>
      <w:r w:rsidR="000E102E" w:rsidRPr="00016DCE">
        <w:rPr>
          <w:rFonts w:ascii="Arial" w:hAnsi="Arial" w:cs="Arial"/>
          <w:sz w:val="22"/>
          <w:szCs w:val="22"/>
        </w:rPr>
        <w:t>j</w:t>
      </w:r>
      <w:r w:rsidR="00F50AA5" w:rsidRPr="00016DCE">
        <w:rPr>
          <w:rFonts w:ascii="Arial" w:hAnsi="Arial" w:cs="Arial"/>
          <w:sz w:val="22"/>
          <w:szCs w:val="22"/>
        </w:rPr>
        <w:t>e a zůstává</w:t>
      </w:r>
      <w:r w:rsidR="000E102E" w:rsidRPr="00016DCE">
        <w:rPr>
          <w:rFonts w:ascii="Arial" w:hAnsi="Arial" w:cs="Arial"/>
          <w:sz w:val="22"/>
          <w:szCs w:val="22"/>
        </w:rPr>
        <w:t xml:space="preserve">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627828">
      <w:pPr>
        <w:numPr>
          <w:ilvl w:val="1"/>
          <w:numId w:val="4"/>
        </w:numPr>
        <w:tabs>
          <w:tab w:val="clear" w:pos="1080"/>
          <w:tab w:val="num" w:pos="567"/>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pracovních dnů uzavřít pojistnou smlouvu ve výše uvedeném rozsahu. Porušení této povinnosti ze strany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splní svou povinnost dokončit dílo tak, že řádně a úplně zhotoví dílo podle </w:t>
      </w:r>
      <w:r w:rsidR="000E102E" w:rsidRPr="00016DCE">
        <w:rPr>
          <w:rFonts w:ascii="Arial" w:hAnsi="Arial" w:cs="Arial"/>
          <w:sz w:val="22"/>
          <w:szCs w:val="22"/>
        </w:rPr>
        <w:lastRenderedPageBreak/>
        <w:t>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xml:space="preserve">, případně také </w:t>
      </w:r>
      <w:r w:rsidR="00067595" w:rsidRPr="00016DCE">
        <w:rPr>
          <w:rFonts w:ascii="Arial" w:hAnsi="Arial" w:cs="Arial"/>
          <w:sz w:val="22"/>
          <w:szCs w:val="22"/>
        </w:rPr>
        <w:lastRenderedPageBreak/>
        <w:t>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k odstranění 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lastRenderedPageBreak/>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Nároky z odpovědnosti ze záruky za jakost díla se nedotýkají nároků na náhradu škody 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w:t>
      </w:r>
      <w:r w:rsidR="000E102E" w:rsidRPr="00016DCE">
        <w:rPr>
          <w:rFonts w:ascii="Arial" w:hAnsi="Arial" w:cs="Arial"/>
          <w:sz w:val="22"/>
          <w:szCs w:val="22"/>
        </w:rPr>
        <w:lastRenderedPageBreak/>
        <w:t>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Stanoví-li oprávněná strana pro dodatečné plnění lhůtu, vzniká jí právo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1"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1"/>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lastRenderedPageBreak/>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rozpočtu Centra pro regionální rozvoj 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w:t>
      </w:r>
      <w:r w:rsidRPr="00016DCE">
        <w:rPr>
          <w:rFonts w:ascii="Arial" w:hAnsi="Arial" w:cs="Arial"/>
          <w:sz w:val="22"/>
          <w:szCs w:val="22"/>
        </w:rPr>
        <w:lastRenderedPageBreak/>
        <w:t xml:space="preserve">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r>
      <w:r w:rsidRPr="00016DCE">
        <w:rPr>
          <w:rFonts w:ascii="Arial" w:hAnsi="Arial" w:cs="Arial"/>
          <w:sz w:val="22"/>
          <w:szCs w:val="22"/>
        </w:rPr>
        <w:lastRenderedPageBreak/>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hodnota případných dodatečných prací (dále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r>
      <w:r w:rsidR="00E00F72" w:rsidRPr="00016DCE">
        <w:rPr>
          <w:rFonts w:ascii="Arial" w:hAnsi="Arial" w:cs="Arial"/>
          <w:sz w:val="22"/>
          <w:szCs w:val="22"/>
        </w:rPr>
        <w:lastRenderedPageBreak/>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03615352" w14:textId="77777777" w:rsidR="000E102E" w:rsidRPr="00016DCE" w:rsidRDefault="004B6A5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w:t>
      </w:r>
      <w:r w:rsidR="00A80463" w:rsidRPr="00016DCE">
        <w:rPr>
          <w:rFonts w:ascii="Arial" w:hAnsi="Arial" w:cs="Arial"/>
          <w:sz w:val="22"/>
          <w:szCs w:val="22"/>
        </w:rPr>
        <w:t>mlouva je vyhotovena v 5</w:t>
      </w:r>
      <w:r w:rsidR="000E102E" w:rsidRPr="00016DCE">
        <w:rPr>
          <w:rFonts w:ascii="Arial" w:hAnsi="Arial" w:cs="Arial"/>
          <w:sz w:val="22"/>
          <w:szCs w:val="22"/>
        </w:rPr>
        <w:t xml:space="preserve"> stejnopis</w:t>
      </w:r>
      <w:r w:rsidR="00A72395" w:rsidRPr="00016DCE">
        <w:rPr>
          <w:rFonts w:ascii="Arial" w:hAnsi="Arial" w:cs="Arial"/>
          <w:sz w:val="22"/>
          <w:szCs w:val="22"/>
        </w:rPr>
        <w:t>ech, z nichž objednatel</w:t>
      </w:r>
      <w:r w:rsidR="00CA210E" w:rsidRPr="00016DCE">
        <w:rPr>
          <w:rFonts w:ascii="Arial" w:hAnsi="Arial" w:cs="Arial"/>
          <w:sz w:val="22"/>
          <w:szCs w:val="22"/>
        </w:rPr>
        <w:t>é</w:t>
      </w:r>
      <w:r w:rsidR="00A72395" w:rsidRPr="00016DCE">
        <w:rPr>
          <w:rFonts w:ascii="Arial" w:hAnsi="Arial" w:cs="Arial"/>
          <w:sz w:val="22"/>
          <w:szCs w:val="22"/>
        </w:rPr>
        <w:t xml:space="preserve"> obdrží </w:t>
      </w:r>
      <w:r w:rsidR="00A80463" w:rsidRPr="00016DCE">
        <w:rPr>
          <w:rFonts w:ascii="Arial" w:hAnsi="Arial" w:cs="Arial"/>
          <w:sz w:val="22"/>
          <w:szCs w:val="22"/>
        </w:rPr>
        <w:t>tři</w:t>
      </w:r>
      <w:r w:rsidR="000E102E" w:rsidRPr="00016DCE">
        <w:rPr>
          <w:rFonts w:ascii="Arial" w:hAnsi="Arial" w:cs="Arial"/>
          <w:sz w:val="22"/>
          <w:szCs w:val="22"/>
        </w:rPr>
        <w:t xml:space="preserve"> </w:t>
      </w:r>
      <w:r w:rsidR="00A80463" w:rsidRPr="00016DCE">
        <w:rPr>
          <w:rFonts w:ascii="Arial" w:hAnsi="Arial" w:cs="Arial"/>
          <w:sz w:val="22"/>
          <w:szCs w:val="22"/>
        </w:rPr>
        <w:t>stejnopisy</w:t>
      </w:r>
      <w:r w:rsidRPr="00016DCE">
        <w:rPr>
          <w:rFonts w:ascii="Arial" w:hAnsi="Arial" w:cs="Arial"/>
          <w:sz w:val="22"/>
          <w:szCs w:val="22"/>
        </w:rPr>
        <w:t xml:space="preserve"> </w:t>
      </w:r>
      <w:r w:rsidR="000E102E" w:rsidRPr="00016DCE">
        <w:rPr>
          <w:rFonts w:ascii="Arial" w:hAnsi="Arial" w:cs="Arial"/>
          <w:sz w:val="22"/>
          <w:szCs w:val="22"/>
        </w:rPr>
        <w:t>a</w:t>
      </w:r>
      <w:r w:rsidR="00F302CB" w:rsidRPr="00016DCE">
        <w:rPr>
          <w:rFonts w:ascii="Arial" w:hAnsi="Arial" w:cs="Arial"/>
          <w:sz w:val="22"/>
          <w:szCs w:val="22"/>
        </w:rPr>
        <w:t> </w:t>
      </w:r>
      <w:r w:rsidR="00DD221F" w:rsidRPr="00016DCE">
        <w:rPr>
          <w:rFonts w:ascii="Arial" w:hAnsi="Arial" w:cs="Arial"/>
          <w:sz w:val="22"/>
          <w:szCs w:val="22"/>
        </w:rPr>
        <w:t xml:space="preserve">dodavatel </w:t>
      </w:r>
      <w:r w:rsidR="00A72395" w:rsidRPr="00016DCE">
        <w:rPr>
          <w:rFonts w:ascii="Arial" w:hAnsi="Arial" w:cs="Arial"/>
          <w:sz w:val="22"/>
          <w:szCs w:val="22"/>
        </w:rPr>
        <w:t>dva</w:t>
      </w:r>
      <w:r w:rsidRPr="00016DCE">
        <w:rPr>
          <w:rFonts w:ascii="Arial" w:hAnsi="Arial" w:cs="Arial"/>
          <w:sz w:val="22"/>
          <w:szCs w:val="22"/>
        </w:rPr>
        <w:t xml:space="preserve"> stejnopisy</w:t>
      </w:r>
      <w:r w:rsidR="000E102E" w:rsidRPr="00016DCE">
        <w:rPr>
          <w:rFonts w:ascii="Arial" w:hAnsi="Arial" w:cs="Arial"/>
          <w:sz w:val="22"/>
          <w:szCs w:val="22"/>
        </w:rPr>
        <w:t>.</w:t>
      </w:r>
    </w:p>
    <w:p w14:paraId="47C632A7" w14:textId="77777777" w:rsidR="000E102E" w:rsidRPr="00016DCE" w:rsidRDefault="000E102E">
      <w:pPr>
        <w:autoSpaceDE w:val="0"/>
        <w:spacing w:line="240" w:lineRule="auto"/>
        <w:ind w:left="567" w:hanging="567"/>
        <w:rPr>
          <w:rFonts w:ascii="Arial" w:hAnsi="Arial" w:cs="Arial"/>
          <w:sz w:val="22"/>
          <w:szCs w:val="22"/>
        </w:rPr>
      </w:pPr>
    </w:p>
    <w:p w14:paraId="1991FD8C" w14:textId="2796FAC5" w:rsidR="000E102E" w:rsidRPr="00016DCE" w:rsidRDefault="000E102E" w:rsidP="00627828">
      <w:pPr>
        <w:numPr>
          <w:ilvl w:val="1"/>
          <w:numId w:val="12"/>
        </w:numPr>
        <w:tabs>
          <w:tab w:val="clear" w:pos="1080"/>
        </w:tabs>
        <w:autoSpaceDE w:val="0"/>
        <w:ind w:left="567" w:hanging="567"/>
        <w:rPr>
          <w:rFonts w:ascii="Arial" w:hAnsi="Arial" w:cs="Arial"/>
          <w:sz w:val="22"/>
          <w:szCs w:val="22"/>
          <w:shd w:val="clear" w:color="auto" w:fill="FFFF00"/>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016DCE">
        <w:rPr>
          <w:rFonts w:ascii="Arial" w:hAnsi="Arial" w:cs="Arial"/>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016DCE" w:rsidRDefault="006B1A51" w:rsidP="006B1A51">
      <w:pPr>
        <w:pStyle w:val="Odstavecseseznamem"/>
        <w:rPr>
          <w:rFonts w:ascii="Arial" w:hAnsi="Arial" w:cs="Arial"/>
          <w:sz w:val="22"/>
          <w:szCs w:val="22"/>
          <w:shd w:val="clear" w:color="auto" w:fill="FFFF00"/>
        </w:rPr>
      </w:pPr>
    </w:p>
    <w:p w14:paraId="16A937DD" w14:textId="77777777" w:rsidR="006B1A51" w:rsidRPr="00016DCE" w:rsidRDefault="006B1A51" w:rsidP="006B1A51">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pPr>
        <w:tabs>
          <w:tab w:val="left" w:pos="360"/>
        </w:tabs>
        <w:autoSpaceDE w:val="0"/>
        <w:ind w:left="567" w:hanging="567"/>
        <w:rPr>
          <w:rFonts w:ascii="Arial" w:hAnsi="Arial" w:cs="Arial"/>
          <w:sz w:val="22"/>
          <w:szCs w:val="22"/>
        </w:rPr>
      </w:pPr>
    </w:p>
    <w:p w14:paraId="0957A600" w14:textId="77777777" w:rsidR="000E102E" w:rsidRPr="00016DCE" w:rsidRDefault="000E102E"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E46223">
      <w:pPr>
        <w:pStyle w:val="Odstavecseseznamem"/>
        <w:rPr>
          <w:rFonts w:ascii="Arial" w:hAnsi="Arial" w:cs="Arial"/>
          <w:sz w:val="22"/>
          <w:szCs w:val="22"/>
        </w:rPr>
      </w:pPr>
    </w:p>
    <w:p w14:paraId="342993F6" w14:textId="77777777" w:rsidR="00E46223" w:rsidRPr="00016DCE" w:rsidRDefault="00E46223"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A1E2028" w14:textId="77777777" w:rsidR="000E102E" w:rsidRPr="00016DCE" w:rsidRDefault="000E102E">
      <w:pPr>
        <w:tabs>
          <w:tab w:val="left" w:pos="360"/>
        </w:tabs>
        <w:autoSpaceDE w:val="0"/>
        <w:ind w:left="567" w:hanging="567"/>
        <w:rPr>
          <w:rFonts w:ascii="Arial" w:hAnsi="Arial" w:cs="Arial"/>
          <w:sz w:val="22"/>
          <w:szCs w:val="22"/>
        </w:rPr>
      </w:pPr>
    </w:p>
    <w:p w14:paraId="30C47C91" w14:textId="77777777" w:rsidR="00BF5553" w:rsidRPr="00016DCE" w:rsidRDefault="00BF5553">
      <w:pPr>
        <w:tabs>
          <w:tab w:val="left" w:pos="360"/>
        </w:tabs>
        <w:autoSpaceDE w:val="0"/>
        <w:ind w:left="567" w:hanging="567"/>
        <w:rPr>
          <w:rFonts w:ascii="Arial" w:hAnsi="Arial" w:cs="Arial"/>
          <w:sz w:val="22"/>
          <w:szCs w:val="22"/>
        </w:rPr>
      </w:pPr>
    </w:p>
    <w:p w14:paraId="7CEB9EF0" w14:textId="77777777" w:rsidR="000E102E" w:rsidRPr="00016DCE" w:rsidRDefault="00D168EF" w:rsidP="00B23A1B">
      <w:pPr>
        <w:numPr>
          <w:ilvl w:val="1"/>
          <w:numId w:val="12"/>
        </w:numPr>
        <w:tabs>
          <w:tab w:val="clear" w:pos="1080"/>
        </w:tabs>
        <w:autoSpaceDE w:val="0"/>
        <w:spacing w:line="340" w:lineRule="atLeast"/>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Směrnice ředitele Krajské správy a údržby silnic Středočeského kraje upřesňující provádění změn závazků dle zákona č. 134/2016 sb., o zadávání veřejných 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Zápis o odevzdání a převzetí dokončené budovy, stavby nebo její 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lastRenderedPageBreak/>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8B37B6">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8B37B6">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8B37B6">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3B1317" w:rsidRPr="009C3206" w:rsidRDefault="003B1317" w:rsidP="00721A91">
                            <w:pPr>
                              <w:rPr>
                                <w:b/>
                                <w:color w:val="FF0000"/>
                              </w:rPr>
                            </w:pPr>
                            <w:r w:rsidRPr="009C3206">
                              <w:rPr>
                                <w:b/>
                                <w:color w:val="FF0000"/>
                              </w:rPr>
                              <w:t>Prostor pro rozpisku zpracovatele RDS</w:t>
                            </w:r>
                          </w:p>
                          <w:p w14:paraId="522C02F6" w14:textId="77777777" w:rsidR="003B1317" w:rsidRDefault="003B1317"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3B1317" w:rsidRPr="009C3206" w:rsidRDefault="003B1317" w:rsidP="00721A91">
                      <w:pPr>
                        <w:rPr>
                          <w:b/>
                          <w:color w:val="FF0000"/>
                        </w:rPr>
                      </w:pPr>
                      <w:r w:rsidRPr="009C3206">
                        <w:rPr>
                          <w:b/>
                          <w:color w:val="FF0000"/>
                        </w:rPr>
                        <w:t>Prostor pro rozpisku zpracovatele RDS</w:t>
                      </w:r>
                    </w:p>
                    <w:p w14:paraId="522C02F6" w14:textId="77777777" w:rsidR="003B1317" w:rsidRDefault="003B1317"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49C93" w14:textId="77777777" w:rsidR="00951D80" w:rsidRDefault="00951D80">
      <w:pPr>
        <w:spacing w:line="240" w:lineRule="auto"/>
      </w:pPr>
      <w:r>
        <w:separator/>
      </w:r>
    </w:p>
  </w:endnote>
  <w:endnote w:type="continuationSeparator" w:id="0">
    <w:p w14:paraId="2E91CC97" w14:textId="77777777" w:rsidR="00951D80" w:rsidRDefault="00951D80">
      <w:pPr>
        <w:spacing w:line="240" w:lineRule="auto"/>
      </w:pPr>
      <w:r>
        <w:continuationSeparator/>
      </w:r>
    </w:p>
  </w:endnote>
  <w:endnote w:type="continuationNotice" w:id="1">
    <w:p w14:paraId="2213E9A9" w14:textId="77777777" w:rsidR="00951D80" w:rsidRDefault="00951D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3B1317" w:rsidRDefault="003B1317" w:rsidP="009F76EA">
    <w:pPr>
      <w:pStyle w:val="Zpat"/>
      <w:jc w:val="center"/>
    </w:pPr>
    <w:r>
      <w:t xml:space="preserve">- </w:t>
    </w:r>
    <w:r>
      <w:fldChar w:fldCharType="begin"/>
    </w:r>
    <w:r>
      <w:instrText>PAGE   \* MERGEFORMAT</w:instrText>
    </w:r>
    <w:r>
      <w:fldChar w:fldCharType="separate"/>
    </w:r>
    <w:r w:rsidR="0082398A" w:rsidRPr="0082398A">
      <w:rPr>
        <w:noProof/>
        <w:lang w:val="cs-CZ"/>
      </w:rPr>
      <w:t>20</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10256" w14:textId="77777777" w:rsidR="00951D80" w:rsidRDefault="00951D80">
      <w:pPr>
        <w:spacing w:line="240" w:lineRule="auto"/>
      </w:pPr>
      <w:r>
        <w:separator/>
      </w:r>
    </w:p>
  </w:footnote>
  <w:footnote w:type="continuationSeparator" w:id="0">
    <w:p w14:paraId="47CD1ED5" w14:textId="77777777" w:rsidR="00951D80" w:rsidRDefault="00951D80">
      <w:pPr>
        <w:spacing w:line="240" w:lineRule="auto"/>
      </w:pPr>
      <w:r>
        <w:continuationSeparator/>
      </w:r>
    </w:p>
  </w:footnote>
  <w:footnote w:type="continuationNotice" w:id="1">
    <w:p w14:paraId="4F81A3C2" w14:textId="77777777" w:rsidR="00951D80" w:rsidRDefault="00951D80">
      <w:pPr>
        <w:spacing w:line="240" w:lineRule="auto"/>
      </w:pPr>
    </w:p>
  </w:footnote>
  <w:footnote w:id="2">
    <w:p w14:paraId="73863A1E" w14:textId="77777777" w:rsidR="003B1317" w:rsidRPr="00E43989" w:rsidRDefault="003B1317"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3B1317" w:rsidRPr="00392BB8" w:rsidRDefault="003B1317">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3B1317" w:rsidRPr="00392BB8" w:rsidRDefault="003B1317">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3B1317" w:rsidRPr="005D057D" w:rsidRDefault="003B1317">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3B1317" w:rsidRDefault="003B1317"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3B1317" w:rsidRDefault="003B1317"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3B1317" w:rsidRDefault="003B1317"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8"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0"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2"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5"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7"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7"/>
  </w:num>
  <w:num w:numId="20">
    <w:abstractNumId w:val="113"/>
  </w:num>
  <w:num w:numId="21">
    <w:abstractNumId w:val="64"/>
  </w:num>
  <w:num w:numId="22">
    <w:abstractNumId w:val="108"/>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09"/>
  </w:num>
  <w:num w:numId="31">
    <w:abstractNumId w:val="112"/>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8"/>
  </w:num>
  <w:num w:numId="39">
    <w:abstractNumId w:val="115"/>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6"/>
  </w:num>
  <w:num w:numId="53">
    <w:abstractNumId w:val="48"/>
  </w:num>
  <w:num w:numId="54">
    <w:abstractNumId w:val="75"/>
  </w:num>
  <w:num w:numId="55">
    <w:abstractNumId w:val="56"/>
  </w:num>
  <w:num w:numId="56">
    <w:abstractNumId w:val="83"/>
  </w:num>
  <w:num w:numId="57">
    <w:abstractNumId w:val="111"/>
  </w:num>
  <w:num w:numId="58">
    <w:abstractNumId w:val="62"/>
  </w:num>
  <w:num w:numId="59">
    <w:abstractNumId w:val="96"/>
  </w:num>
  <w:num w:numId="60">
    <w:abstractNumId w:val="61"/>
  </w:num>
  <w:num w:numId="61">
    <w:abstractNumId w:val="117"/>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0"/>
  </w:num>
  <w:num w:numId="71">
    <w:abstractNumId w:val="114"/>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496"/>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5DD1"/>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317"/>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2F44"/>
    <w:rsid w:val="006136F9"/>
    <w:rsid w:val="0061444F"/>
    <w:rsid w:val="00615C7A"/>
    <w:rsid w:val="00617FD2"/>
    <w:rsid w:val="00620906"/>
    <w:rsid w:val="00620CE1"/>
    <w:rsid w:val="00621D95"/>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98A"/>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1D80"/>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0774E"/>
    <w:rsid w:val="00C10176"/>
    <w:rsid w:val="00C10ACE"/>
    <w:rsid w:val="00C10EC8"/>
    <w:rsid w:val="00C11608"/>
    <w:rsid w:val="00C1181D"/>
    <w:rsid w:val="00C11AFA"/>
    <w:rsid w:val="00C12791"/>
    <w:rsid w:val="00C12A2B"/>
    <w:rsid w:val="00C12FEC"/>
    <w:rsid w:val="00C13811"/>
    <w:rsid w:val="00C13C6D"/>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365376622">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miroslav.dos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iri.levy@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3.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4.xml><?xml version="1.0" encoding="utf-8"?>
<ds:datastoreItem xmlns:ds="http://schemas.openxmlformats.org/officeDocument/2006/customXml" ds:itemID="{E898DCCA-501C-49BA-8A1B-ECF5531C1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63</Pages>
  <Words>19391</Words>
  <Characters>114408</Characters>
  <Application>Microsoft Office Word</Application>
  <DocSecurity>0</DocSecurity>
  <Lines>953</Lines>
  <Paragraphs>267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133532</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3</cp:revision>
  <cp:lastPrinted>2018-11-23T13:47:00Z</cp:lastPrinted>
  <dcterms:created xsi:type="dcterms:W3CDTF">2019-02-14T13:02:00Z</dcterms:created>
  <dcterms:modified xsi:type="dcterms:W3CDTF">2019-02-14T13:19:00Z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